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1F857" w14:textId="77777777" w:rsidR="00703D3D" w:rsidRPr="00936237" w:rsidRDefault="00703D3D" w:rsidP="00703D3D">
      <w:pPr>
        <w:jc w:val="center"/>
        <w:rPr>
          <w:b/>
          <w:sz w:val="24"/>
        </w:rPr>
      </w:pPr>
      <w:r>
        <w:rPr>
          <w:b/>
          <w:sz w:val="24"/>
        </w:rPr>
        <w:t>Základní informace pro oznamovatele protiprávního jednání</w:t>
      </w:r>
    </w:p>
    <w:p w14:paraId="46C0F573" w14:textId="77777777" w:rsidR="00703D3D" w:rsidRDefault="00703D3D" w:rsidP="00703D3D">
      <w:pPr>
        <w:jc w:val="both"/>
        <w:rPr>
          <w:sz w:val="24"/>
        </w:rPr>
      </w:pPr>
      <w:r>
        <w:rPr>
          <w:sz w:val="24"/>
        </w:rPr>
        <w:t>Ochrana oznamovatelů protiprávního jednání zjištěného na pracovišti spočívá:</w:t>
      </w:r>
    </w:p>
    <w:p w14:paraId="7395206E" w14:textId="77777777" w:rsidR="00703D3D" w:rsidRDefault="00703D3D" w:rsidP="00703D3D">
      <w:pPr>
        <w:pStyle w:val="Odstavecseseznamem"/>
        <w:numPr>
          <w:ilvl w:val="0"/>
          <w:numId w:val="1"/>
        </w:numPr>
        <w:spacing w:line="254" w:lineRule="auto"/>
        <w:jc w:val="both"/>
        <w:rPr>
          <w:sz w:val="24"/>
        </w:rPr>
      </w:pPr>
      <w:r>
        <w:rPr>
          <w:sz w:val="24"/>
        </w:rPr>
        <w:t xml:space="preserve">ve vytvoření zabezpečených kanálů pro podání oznámení o takovémto jednání,  </w:t>
      </w:r>
    </w:p>
    <w:p w14:paraId="3B0A0C21" w14:textId="77777777" w:rsidR="00703D3D" w:rsidRDefault="00703D3D" w:rsidP="00703D3D">
      <w:pPr>
        <w:pStyle w:val="Odstavecseseznamem"/>
        <w:numPr>
          <w:ilvl w:val="0"/>
          <w:numId w:val="1"/>
        </w:numPr>
        <w:spacing w:line="254" w:lineRule="auto"/>
        <w:jc w:val="both"/>
        <w:rPr>
          <w:sz w:val="24"/>
        </w:rPr>
      </w:pPr>
      <w:r>
        <w:rPr>
          <w:sz w:val="24"/>
        </w:rPr>
        <w:t>v zajištění ochrany totožnosti oznamovatele a důvěrnosti oznamovaných informací,</w:t>
      </w:r>
    </w:p>
    <w:p w14:paraId="0B8024AF" w14:textId="77777777" w:rsidR="00703D3D" w:rsidRDefault="00703D3D" w:rsidP="00703D3D">
      <w:pPr>
        <w:pStyle w:val="Odstavecseseznamem"/>
        <w:numPr>
          <w:ilvl w:val="0"/>
          <w:numId w:val="1"/>
        </w:numPr>
        <w:spacing w:line="254" w:lineRule="auto"/>
        <w:jc w:val="both"/>
        <w:rPr>
          <w:sz w:val="24"/>
        </w:rPr>
      </w:pPr>
      <w:r>
        <w:rPr>
          <w:sz w:val="24"/>
        </w:rPr>
        <w:t>v ochraně oznamovatele před odvetnými opatřeními za podání oznámení</w:t>
      </w:r>
      <w:r>
        <w:rPr>
          <w:sz w:val="24"/>
        </w:rPr>
        <w:br/>
        <w:t>(např. ukončení pracovního poměru, snížení osobního příplatku apod.). Ochrany před odvetnými opatřeními se nemůže domáhat osoba, která podala vědomě nepravdivé oznámení.</w:t>
      </w:r>
    </w:p>
    <w:p w14:paraId="4E0C071E" w14:textId="77777777" w:rsidR="00703D3D" w:rsidRDefault="00703D3D" w:rsidP="00703D3D">
      <w:pPr>
        <w:jc w:val="both"/>
        <w:rPr>
          <w:b/>
          <w:sz w:val="24"/>
        </w:rPr>
      </w:pPr>
      <w:r>
        <w:rPr>
          <w:b/>
          <w:sz w:val="24"/>
        </w:rPr>
        <w:t>Kdo může být oznamovatelem?</w:t>
      </w:r>
    </w:p>
    <w:p w14:paraId="3E79F6EB" w14:textId="77777777" w:rsidR="00703D3D" w:rsidRDefault="00703D3D" w:rsidP="00703D3D">
      <w:pPr>
        <w:jc w:val="both"/>
        <w:rPr>
          <w:sz w:val="24"/>
        </w:rPr>
      </w:pPr>
      <w:r>
        <w:rPr>
          <w:sz w:val="24"/>
        </w:rPr>
        <w:t xml:space="preserve">Své podezření může </w:t>
      </w:r>
      <w:r>
        <w:rPr>
          <w:rFonts w:ascii="Source Sans Pro" w:hAnsi="Source Sans Pro"/>
          <w:color w:val="000000"/>
          <w:sz w:val="23"/>
          <w:szCs w:val="23"/>
        </w:rPr>
        <w:t>Nemocnici Letovice, příspěvkové organizaci</w:t>
      </w:r>
      <w:r>
        <w:rPr>
          <w:sz w:val="24"/>
        </w:rPr>
        <w:t xml:space="preserve"> oznámit každá fyzická osoba, která se v souvislosti s prací anebo jinou obdobnou činností pro </w:t>
      </w:r>
      <w:r>
        <w:rPr>
          <w:rFonts w:ascii="Source Sans Pro" w:hAnsi="Source Sans Pro"/>
          <w:color w:val="000000"/>
          <w:sz w:val="23"/>
          <w:szCs w:val="23"/>
        </w:rPr>
        <w:t>Nemocnici Letovice, příspěvkové organizaci</w:t>
      </w:r>
      <w:r>
        <w:rPr>
          <w:sz w:val="24"/>
        </w:rPr>
        <w:t xml:space="preserve"> dozvěděla o protiprávním jednání, spadajícím do jedné z oblastí vymezených Směrnicí. Oznamovatel by měl jednat ve veřejném zájmu a v dobré víře, že podávané oznámení se opírá o věrohodná fakta a skutečnosti. </w:t>
      </w:r>
    </w:p>
    <w:p w14:paraId="68027A39" w14:textId="77777777" w:rsidR="00703D3D" w:rsidRDefault="00703D3D" w:rsidP="00703D3D">
      <w:pPr>
        <w:jc w:val="both"/>
        <w:rPr>
          <w:sz w:val="24"/>
        </w:rPr>
      </w:pPr>
      <w:r>
        <w:rPr>
          <w:sz w:val="24"/>
        </w:rPr>
        <w:t>Prací nebo jinou obdobnou činností se rozumí:</w:t>
      </w:r>
    </w:p>
    <w:p w14:paraId="4217C947" w14:textId="77777777" w:rsidR="00703D3D" w:rsidRDefault="00703D3D" w:rsidP="00703D3D">
      <w:pPr>
        <w:pStyle w:val="Odstavecseseznamem"/>
        <w:numPr>
          <w:ilvl w:val="0"/>
          <w:numId w:val="2"/>
        </w:numPr>
        <w:spacing w:line="254" w:lineRule="auto"/>
        <w:jc w:val="both"/>
        <w:rPr>
          <w:sz w:val="24"/>
        </w:rPr>
      </w:pPr>
      <w:r>
        <w:rPr>
          <w:sz w:val="24"/>
        </w:rPr>
        <w:t>zaměstnání,</w:t>
      </w:r>
    </w:p>
    <w:p w14:paraId="25918A34" w14:textId="77777777" w:rsidR="00703D3D" w:rsidRDefault="00703D3D" w:rsidP="00703D3D">
      <w:pPr>
        <w:pStyle w:val="Odstavecseseznamem"/>
        <w:numPr>
          <w:ilvl w:val="0"/>
          <w:numId w:val="2"/>
        </w:numPr>
        <w:spacing w:line="254" w:lineRule="auto"/>
        <w:jc w:val="both"/>
        <w:rPr>
          <w:sz w:val="24"/>
        </w:rPr>
      </w:pPr>
      <w:r>
        <w:rPr>
          <w:sz w:val="24"/>
        </w:rPr>
        <w:t>služba,</w:t>
      </w:r>
    </w:p>
    <w:p w14:paraId="5B6FA576" w14:textId="77777777" w:rsidR="00703D3D" w:rsidRDefault="00703D3D" w:rsidP="00703D3D">
      <w:pPr>
        <w:pStyle w:val="Odstavecseseznamem"/>
        <w:numPr>
          <w:ilvl w:val="0"/>
          <w:numId w:val="2"/>
        </w:numPr>
        <w:spacing w:line="254" w:lineRule="auto"/>
        <w:jc w:val="both"/>
        <w:rPr>
          <w:sz w:val="24"/>
        </w:rPr>
      </w:pPr>
      <w:r>
        <w:rPr>
          <w:sz w:val="24"/>
        </w:rPr>
        <w:t>samostatná výdělečná činnost,</w:t>
      </w:r>
    </w:p>
    <w:p w14:paraId="652B7F06" w14:textId="77777777" w:rsidR="00703D3D" w:rsidRDefault="00703D3D" w:rsidP="00703D3D">
      <w:pPr>
        <w:pStyle w:val="Odstavecseseznamem"/>
        <w:numPr>
          <w:ilvl w:val="0"/>
          <w:numId w:val="2"/>
        </w:numPr>
        <w:spacing w:line="254" w:lineRule="auto"/>
        <w:jc w:val="both"/>
        <w:rPr>
          <w:sz w:val="24"/>
        </w:rPr>
      </w:pPr>
      <w:r>
        <w:rPr>
          <w:sz w:val="24"/>
        </w:rPr>
        <w:t>výkon práv spojených s účastí v právnické osobě,</w:t>
      </w:r>
    </w:p>
    <w:p w14:paraId="50B4FD3E" w14:textId="77777777" w:rsidR="00703D3D" w:rsidRDefault="00703D3D" w:rsidP="00703D3D">
      <w:pPr>
        <w:pStyle w:val="Odstavecseseznamem"/>
        <w:numPr>
          <w:ilvl w:val="0"/>
          <w:numId w:val="2"/>
        </w:numPr>
        <w:spacing w:line="254" w:lineRule="auto"/>
        <w:jc w:val="both"/>
        <w:rPr>
          <w:sz w:val="24"/>
        </w:rPr>
      </w:pPr>
      <w:r>
        <w:rPr>
          <w:sz w:val="24"/>
        </w:rPr>
        <w:t>výkon funkce člena orgánů právnické osoby, který je do funkce volen, jmenován či jinak povolán (tzv. „volený orgán“),</w:t>
      </w:r>
    </w:p>
    <w:p w14:paraId="4A641B39" w14:textId="77777777" w:rsidR="00703D3D" w:rsidRDefault="00703D3D" w:rsidP="00703D3D">
      <w:pPr>
        <w:pStyle w:val="Odstavecseseznamem"/>
        <w:numPr>
          <w:ilvl w:val="0"/>
          <w:numId w:val="2"/>
        </w:numPr>
        <w:spacing w:line="254" w:lineRule="auto"/>
        <w:jc w:val="both"/>
        <w:rPr>
          <w:sz w:val="24"/>
        </w:rPr>
      </w:pPr>
      <w:r>
        <w:rPr>
          <w:sz w:val="24"/>
        </w:rPr>
        <w:t>správa svěřenského fondu,</w:t>
      </w:r>
    </w:p>
    <w:p w14:paraId="7D754287" w14:textId="77777777" w:rsidR="00703D3D" w:rsidRDefault="00703D3D" w:rsidP="00703D3D">
      <w:pPr>
        <w:pStyle w:val="Odstavecseseznamem"/>
        <w:numPr>
          <w:ilvl w:val="0"/>
          <w:numId w:val="2"/>
        </w:numPr>
        <w:spacing w:line="254" w:lineRule="auto"/>
        <w:jc w:val="both"/>
        <w:rPr>
          <w:sz w:val="24"/>
        </w:rPr>
      </w:pPr>
      <w:r>
        <w:rPr>
          <w:sz w:val="24"/>
        </w:rPr>
        <w:t>dobrovolnická činnost,</w:t>
      </w:r>
    </w:p>
    <w:p w14:paraId="168639AB" w14:textId="77777777" w:rsidR="00703D3D" w:rsidRDefault="00703D3D" w:rsidP="00703D3D">
      <w:pPr>
        <w:pStyle w:val="Odstavecseseznamem"/>
        <w:numPr>
          <w:ilvl w:val="0"/>
          <w:numId w:val="2"/>
        </w:numPr>
        <w:spacing w:line="254" w:lineRule="auto"/>
        <w:jc w:val="both"/>
        <w:rPr>
          <w:sz w:val="24"/>
        </w:rPr>
      </w:pPr>
      <w:r>
        <w:rPr>
          <w:sz w:val="24"/>
        </w:rPr>
        <w:t>ucházení se o práci,</w:t>
      </w:r>
    </w:p>
    <w:p w14:paraId="365F1C14" w14:textId="77777777" w:rsidR="00703D3D" w:rsidRDefault="00703D3D" w:rsidP="00703D3D">
      <w:pPr>
        <w:pStyle w:val="Odstavecseseznamem"/>
        <w:numPr>
          <w:ilvl w:val="0"/>
          <w:numId w:val="2"/>
        </w:numPr>
        <w:spacing w:line="254" w:lineRule="auto"/>
        <w:jc w:val="both"/>
        <w:rPr>
          <w:sz w:val="24"/>
        </w:rPr>
      </w:pPr>
      <w:r>
        <w:rPr>
          <w:sz w:val="24"/>
        </w:rPr>
        <w:t>odborná praxe, stáž, nebo</w:t>
      </w:r>
    </w:p>
    <w:p w14:paraId="79C505A0" w14:textId="77777777" w:rsidR="00703D3D" w:rsidRDefault="00703D3D" w:rsidP="00703D3D">
      <w:pPr>
        <w:pStyle w:val="Odstavecseseznamem"/>
        <w:numPr>
          <w:ilvl w:val="0"/>
          <w:numId w:val="2"/>
        </w:numPr>
        <w:spacing w:after="0" w:line="240" w:lineRule="auto"/>
        <w:jc w:val="both"/>
        <w:rPr>
          <w:sz w:val="24"/>
        </w:rPr>
      </w:pPr>
      <w:r>
        <w:rPr>
          <w:sz w:val="24"/>
        </w:rPr>
        <w:t>výkon práv a povinností vyplývajících ze smlouvy, jejímž předmětem je poskytování dodávek, služeb, stavebních prací nebo jiného obdobného plnění.</w:t>
      </w:r>
    </w:p>
    <w:p w14:paraId="1675CD94" w14:textId="77777777" w:rsidR="00703D3D" w:rsidRDefault="00703D3D" w:rsidP="00703D3D">
      <w:pPr>
        <w:jc w:val="both"/>
        <w:rPr>
          <w:sz w:val="24"/>
        </w:rPr>
      </w:pPr>
    </w:p>
    <w:p w14:paraId="405C6362" w14:textId="77777777" w:rsidR="00703D3D" w:rsidRDefault="00703D3D" w:rsidP="00703D3D">
      <w:pPr>
        <w:jc w:val="both"/>
        <w:rPr>
          <w:b/>
          <w:sz w:val="24"/>
        </w:rPr>
      </w:pPr>
      <w:r>
        <w:rPr>
          <w:b/>
          <w:sz w:val="24"/>
        </w:rPr>
        <w:t>Co může být předmětem oznámení v režimu ochrany oznamovatelů?</w:t>
      </w:r>
    </w:p>
    <w:p w14:paraId="335D7E6B" w14:textId="77777777" w:rsidR="00703D3D" w:rsidRDefault="00703D3D" w:rsidP="00703D3D">
      <w:pPr>
        <w:jc w:val="both"/>
        <w:rPr>
          <w:sz w:val="24"/>
        </w:rPr>
      </w:pPr>
      <w:r>
        <w:rPr>
          <w:sz w:val="24"/>
        </w:rPr>
        <w:t xml:space="preserve">Předmětem oznámení mohou být pouze podezření týkající se porušení právních předpisů Unie. S ohledem na předmět činnosti </w:t>
      </w:r>
      <w:r>
        <w:rPr>
          <w:rFonts w:ascii="Source Sans Pro" w:hAnsi="Source Sans Pro"/>
          <w:color w:val="000000"/>
          <w:sz w:val="23"/>
          <w:szCs w:val="23"/>
        </w:rPr>
        <w:t>Nemocnice Letovice, příspěvkové organizace</w:t>
      </w:r>
      <w:r>
        <w:rPr>
          <w:sz w:val="24"/>
        </w:rPr>
        <w:t xml:space="preserve"> pak půjde zejména o podezření týkající se:</w:t>
      </w:r>
    </w:p>
    <w:p w14:paraId="24C7A437" w14:textId="340D4CF5" w:rsidR="00703D3D" w:rsidRDefault="00703D3D" w:rsidP="00703D3D">
      <w:pPr>
        <w:pStyle w:val="Odstavecseseznamem"/>
        <w:numPr>
          <w:ilvl w:val="0"/>
          <w:numId w:val="3"/>
        </w:numPr>
        <w:spacing w:line="254" w:lineRule="auto"/>
        <w:jc w:val="both"/>
        <w:rPr>
          <w:sz w:val="24"/>
        </w:rPr>
      </w:pPr>
      <w:r>
        <w:rPr>
          <w:sz w:val="24"/>
        </w:rPr>
        <w:t xml:space="preserve">porušení ohrožující </w:t>
      </w:r>
      <w:r w:rsidR="00385030">
        <w:rPr>
          <w:sz w:val="24"/>
        </w:rPr>
        <w:t>finančních služeb</w:t>
      </w:r>
      <w:r>
        <w:rPr>
          <w:sz w:val="24"/>
        </w:rPr>
        <w:t>,</w:t>
      </w:r>
      <w:r w:rsidR="00385030">
        <w:rPr>
          <w:sz w:val="24"/>
        </w:rPr>
        <w:t xml:space="preserve"> povinného auditu, finančních produktů, finančních trhů</w:t>
      </w:r>
    </w:p>
    <w:p w14:paraId="19F3A78D" w14:textId="77777777" w:rsidR="00703D3D" w:rsidRDefault="00703D3D" w:rsidP="00703D3D">
      <w:pPr>
        <w:pStyle w:val="Odstavecseseznamem"/>
        <w:numPr>
          <w:ilvl w:val="0"/>
          <w:numId w:val="3"/>
        </w:numPr>
        <w:spacing w:line="254" w:lineRule="auto"/>
        <w:jc w:val="both"/>
        <w:rPr>
          <w:sz w:val="24"/>
        </w:rPr>
      </w:pPr>
      <w:r>
        <w:rPr>
          <w:sz w:val="24"/>
        </w:rPr>
        <w:t>zadávání veřejných zakázek,</w:t>
      </w:r>
    </w:p>
    <w:p w14:paraId="336F9055" w14:textId="77777777" w:rsidR="00703D3D" w:rsidRDefault="00703D3D" w:rsidP="00703D3D">
      <w:pPr>
        <w:pStyle w:val="Odstavecseseznamem"/>
        <w:numPr>
          <w:ilvl w:val="0"/>
          <w:numId w:val="3"/>
        </w:numPr>
        <w:spacing w:line="254" w:lineRule="auto"/>
        <w:jc w:val="both"/>
        <w:rPr>
          <w:sz w:val="24"/>
        </w:rPr>
      </w:pPr>
      <w:r>
        <w:rPr>
          <w:sz w:val="24"/>
        </w:rPr>
        <w:t>předcházení legalizaci výnosů z trestné činnosti a financování terorismu,</w:t>
      </w:r>
    </w:p>
    <w:p w14:paraId="5A00EAFD" w14:textId="77777777" w:rsidR="00703D3D" w:rsidRDefault="00703D3D" w:rsidP="00703D3D">
      <w:pPr>
        <w:pStyle w:val="Odstavecseseznamem"/>
        <w:numPr>
          <w:ilvl w:val="0"/>
          <w:numId w:val="3"/>
        </w:numPr>
        <w:spacing w:line="254" w:lineRule="auto"/>
        <w:jc w:val="both"/>
        <w:rPr>
          <w:sz w:val="24"/>
        </w:rPr>
      </w:pPr>
      <w:r>
        <w:rPr>
          <w:sz w:val="24"/>
        </w:rPr>
        <w:t>ochrany životního prostředí,</w:t>
      </w:r>
    </w:p>
    <w:p w14:paraId="7043CB24" w14:textId="77777777" w:rsidR="00703D3D" w:rsidRDefault="00703D3D" w:rsidP="00703D3D">
      <w:pPr>
        <w:pStyle w:val="Odstavecseseznamem"/>
        <w:numPr>
          <w:ilvl w:val="0"/>
          <w:numId w:val="3"/>
        </w:numPr>
        <w:spacing w:after="0" w:line="254" w:lineRule="auto"/>
        <w:rPr>
          <w:sz w:val="24"/>
        </w:rPr>
      </w:pPr>
      <w:r>
        <w:rPr>
          <w:sz w:val="24"/>
        </w:rPr>
        <w:t xml:space="preserve">radiační ochrany a jaderné bezpečnosti, </w:t>
      </w:r>
    </w:p>
    <w:p w14:paraId="73D51F1C" w14:textId="77777777" w:rsidR="00703D3D" w:rsidRDefault="00703D3D" w:rsidP="00703D3D">
      <w:pPr>
        <w:pStyle w:val="Odstavecseseznamem"/>
        <w:numPr>
          <w:ilvl w:val="0"/>
          <w:numId w:val="3"/>
        </w:numPr>
        <w:spacing w:line="254" w:lineRule="auto"/>
        <w:jc w:val="both"/>
        <w:rPr>
          <w:sz w:val="24"/>
        </w:rPr>
      </w:pPr>
      <w:r>
        <w:rPr>
          <w:sz w:val="24"/>
        </w:rPr>
        <w:t>daně z příjmů právnických osob,</w:t>
      </w:r>
    </w:p>
    <w:p w14:paraId="521758E7" w14:textId="77777777" w:rsidR="00703D3D" w:rsidRDefault="00703D3D" w:rsidP="00703D3D">
      <w:pPr>
        <w:pStyle w:val="Odstavecseseznamem"/>
        <w:numPr>
          <w:ilvl w:val="0"/>
          <w:numId w:val="3"/>
        </w:numPr>
        <w:spacing w:line="254" w:lineRule="auto"/>
        <w:jc w:val="both"/>
        <w:rPr>
          <w:sz w:val="24"/>
        </w:rPr>
      </w:pPr>
      <w:r>
        <w:rPr>
          <w:sz w:val="24"/>
        </w:rPr>
        <w:lastRenderedPageBreak/>
        <w:t>bezpečnosti a souladu výrobků s předpisy,</w:t>
      </w:r>
    </w:p>
    <w:p w14:paraId="64BA66C4" w14:textId="77777777" w:rsidR="00703D3D" w:rsidRDefault="00703D3D" w:rsidP="00703D3D">
      <w:pPr>
        <w:pStyle w:val="Odstavecseseznamem"/>
        <w:numPr>
          <w:ilvl w:val="0"/>
          <w:numId w:val="3"/>
        </w:numPr>
        <w:spacing w:line="254" w:lineRule="auto"/>
        <w:jc w:val="both"/>
        <w:rPr>
          <w:sz w:val="24"/>
        </w:rPr>
      </w:pPr>
      <w:r>
        <w:rPr>
          <w:sz w:val="24"/>
        </w:rPr>
        <w:t>bezpečnosti dopravy, přepravy a provozu na pozemních komunikacích,</w:t>
      </w:r>
    </w:p>
    <w:p w14:paraId="5E0546AA" w14:textId="77777777" w:rsidR="00703D3D" w:rsidRDefault="00703D3D" w:rsidP="00703D3D">
      <w:pPr>
        <w:pStyle w:val="Odstavecseseznamem"/>
        <w:numPr>
          <w:ilvl w:val="0"/>
          <w:numId w:val="3"/>
        </w:numPr>
        <w:spacing w:line="254" w:lineRule="auto"/>
        <w:jc w:val="both"/>
        <w:rPr>
          <w:sz w:val="24"/>
        </w:rPr>
      </w:pPr>
      <w:r>
        <w:rPr>
          <w:sz w:val="24"/>
        </w:rPr>
        <w:t>bezpečnosti potravin a krmiv, zdraví a dobré životní podmínky zvířat,</w:t>
      </w:r>
    </w:p>
    <w:p w14:paraId="1E41620F" w14:textId="77777777" w:rsidR="00703D3D" w:rsidRDefault="00703D3D" w:rsidP="00703D3D">
      <w:pPr>
        <w:pStyle w:val="Odstavecseseznamem"/>
        <w:numPr>
          <w:ilvl w:val="0"/>
          <w:numId w:val="3"/>
        </w:numPr>
        <w:spacing w:line="254" w:lineRule="auto"/>
        <w:jc w:val="both"/>
        <w:rPr>
          <w:sz w:val="24"/>
        </w:rPr>
      </w:pPr>
      <w:r>
        <w:rPr>
          <w:sz w:val="24"/>
        </w:rPr>
        <w:t>ochrany spotřebitele, a bezpečnosti a souladu s požadavky na výrobky podle právních předpisů,</w:t>
      </w:r>
    </w:p>
    <w:p w14:paraId="4D5BA5CD" w14:textId="77777777" w:rsidR="00703D3D" w:rsidRDefault="00703D3D" w:rsidP="00703D3D">
      <w:pPr>
        <w:pStyle w:val="Odstavecseseznamem"/>
        <w:numPr>
          <w:ilvl w:val="0"/>
          <w:numId w:val="3"/>
        </w:numPr>
        <w:spacing w:line="254" w:lineRule="auto"/>
        <w:jc w:val="both"/>
        <w:rPr>
          <w:sz w:val="24"/>
        </w:rPr>
      </w:pPr>
      <w:r>
        <w:rPr>
          <w:sz w:val="24"/>
        </w:rPr>
        <w:t>ochrany vnitřního pořádku a bezpečnosti, života a zdraví,</w:t>
      </w:r>
    </w:p>
    <w:p w14:paraId="4FF486D5" w14:textId="77777777" w:rsidR="00703D3D" w:rsidRDefault="00703D3D" w:rsidP="00703D3D">
      <w:pPr>
        <w:pStyle w:val="Odstavecseseznamem"/>
        <w:numPr>
          <w:ilvl w:val="0"/>
          <w:numId w:val="3"/>
        </w:numPr>
        <w:spacing w:line="254" w:lineRule="auto"/>
        <w:jc w:val="both"/>
        <w:rPr>
          <w:sz w:val="24"/>
        </w:rPr>
      </w:pPr>
      <w:r>
        <w:rPr>
          <w:sz w:val="24"/>
        </w:rPr>
        <w:t>ochrany soukromí, osobních údajů a bezpečnosti sítí a informačních systémů.</w:t>
      </w:r>
    </w:p>
    <w:p w14:paraId="72E57FA7" w14:textId="77777777" w:rsidR="00703D3D" w:rsidRDefault="00703D3D" w:rsidP="00703D3D">
      <w:pPr>
        <w:jc w:val="both"/>
        <w:rPr>
          <w:b/>
          <w:sz w:val="24"/>
        </w:rPr>
      </w:pPr>
      <w:r>
        <w:rPr>
          <w:b/>
          <w:sz w:val="24"/>
        </w:rPr>
        <w:t>Co oznamovatel na základě Směrnice oznámit nemůže?</w:t>
      </w:r>
    </w:p>
    <w:p w14:paraId="695F278C" w14:textId="77777777" w:rsidR="00703D3D" w:rsidRDefault="00703D3D" w:rsidP="00703D3D">
      <w:pPr>
        <w:jc w:val="both"/>
        <w:rPr>
          <w:sz w:val="24"/>
        </w:rPr>
      </w:pPr>
      <w:r>
        <w:rPr>
          <w:sz w:val="24"/>
        </w:rPr>
        <w:t xml:space="preserve">Z oznamování jsou vyňaty takové informace, na které se vztahuje povinnost zachovávat ochranu utajovaných informací a informací, jejichž vyzrazení by zjevně mohlo ohrozit probíhající trestní řízení, a dále zvláštní skutečnosti podléhající ochraně podle zákona upravujícího krizové řízení. Oznamovatel také nesmí porušit povinnost mlčenlivosti při výkonu funkce (např. advokátní tajemství) včetně povinné mlčenlivosti při poskytování zdravotnických služeb (lékařské tajemství).  </w:t>
      </w:r>
    </w:p>
    <w:p w14:paraId="027D05B2" w14:textId="7B89D342" w:rsidR="00703D3D" w:rsidRDefault="00703D3D" w:rsidP="00703D3D">
      <w:pPr>
        <w:jc w:val="both"/>
        <w:rPr>
          <w:sz w:val="24"/>
        </w:rPr>
      </w:pPr>
      <w:r>
        <w:rPr>
          <w:sz w:val="24"/>
        </w:rPr>
        <w:t>Osoba, která by podala oznámení obsahující některé z uvedených informací, nejen že není chráněna ve smyslu Směrnice</w:t>
      </w:r>
      <w:r w:rsidR="00EF52E6">
        <w:rPr>
          <w:sz w:val="24"/>
        </w:rPr>
        <w:t xml:space="preserve"> a zákona</w:t>
      </w:r>
      <w:r>
        <w:rPr>
          <w:sz w:val="24"/>
        </w:rPr>
        <w:t>, ale může se dopustit přestupku, kárného provinění či dokonce trestného činu.</w:t>
      </w:r>
    </w:p>
    <w:p w14:paraId="11503D5B" w14:textId="77777777" w:rsidR="00703D3D" w:rsidRDefault="00703D3D" w:rsidP="00703D3D">
      <w:pPr>
        <w:jc w:val="both"/>
        <w:rPr>
          <w:b/>
          <w:sz w:val="24"/>
        </w:rPr>
      </w:pPr>
      <w:r>
        <w:rPr>
          <w:b/>
          <w:sz w:val="24"/>
        </w:rPr>
        <w:t>Jak můžete oznámit své podezření?</w:t>
      </w:r>
    </w:p>
    <w:p w14:paraId="4E4E8EAC" w14:textId="77777777" w:rsidR="00703D3D" w:rsidRDefault="00703D3D" w:rsidP="00703D3D">
      <w:pPr>
        <w:jc w:val="both"/>
        <w:rPr>
          <w:sz w:val="24"/>
        </w:rPr>
      </w:pPr>
      <w:r>
        <w:rPr>
          <w:sz w:val="24"/>
        </w:rPr>
        <w:t xml:space="preserve">1. písemně na adresu: </w:t>
      </w:r>
    </w:p>
    <w:p w14:paraId="36C43952" w14:textId="77777777" w:rsidR="00703D3D" w:rsidRDefault="00703D3D" w:rsidP="00703D3D">
      <w:pPr>
        <w:spacing w:after="0"/>
        <w:jc w:val="both"/>
        <w:rPr>
          <w:sz w:val="24"/>
        </w:rPr>
      </w:pPr>
      <w:r>
        <w:t>Nemocnice Letovice, příspěvková organizace</w:t>
      </w:r>
    </w:p>
    <w:p w14:paraId="20D7DAA7" w14:textId="77777777" w:rsidR="00703D3D" w:rsidRDefault="00703D3D" w:rsidP="00703D3D">
      <w:pPr>
        <w:pStyle w:val="Normlnweb"/>
        <w:shd w:val="clear" w:color="auto" w:fill="FFFFFF"/>
        <w:spacing w:before="0" w:beforeAutospacing="0" w:after="0" w:afterAutospacing="0" w:line="345" w:lineRule="atLeast"/>
        <w:rPr>
          <w:rFonts w:ascii="Calibri" w:hAnsi="Calibri" w:cs="Calibri"/>
        </w:rPr>
      </w:pPr>
      <w:r>
        <w:rPr>
          <w:rFonts w:ascii="Calibri" w:hAnsi="Calibri" w:cs="Calibri"/>
        </w:rPr>
        <w:t>Ing. Eva Siverová</w:t>
      </w:r>
      <w:r>
        <w:rPr>
          <w:rFonts w:ascii="Calibri" w:hAnsi="Calibri" w:cs="Calibri"/>
        </w:rPr>
        <w:br/>
        <w:t>Pod Klášterem 55/17</w:t>
      </w:r>
    </w:p>
    <w:p w14:paraId="13EC06AC" w14:textId="019A875D" w:rsidR="00703D3D" w:rsidRDefault="00703D3D" w:rsidP="00703D3D">
      <w:pPr>
        <w:pStyle w:val="Normlnweb"/>
        <w:shd w:val="clear" w:color="auto" w:fill="FFFFFF"/>
        <w:spacing w:before="0" w:beforeAutospacing="0" w:after="0" w:afterAutospacing="0" w:line="345" w:lineRule="atLeast"/>
        <w:rPr>
          <w:rFonts w:ascii="Calibri" w:hAnsi="Calibri" w:cs="Calibri"/>
          <w:b/>
          <w:bCs/>
          <w:color w:val="000000"/>
          <w:sz w:val="23"/>
          <w:szCs w:val="23"/>
        </w:rPr>
      </w:pPr>
      <w:r>
        <w:rPr>
          <w:rFonts w:ascii="Calibri" w:hAnsi="Calibri" w:cs="Calibri"/>
        </w:rPr>
        <w:t>679 61 Letovice</w:t>
      </w:r>
      <w:r>
        <w:rPr>
          <w:rFonts w:ascii="Calibri" w:hAnsi="Calibri" w:cs="Calibri"/>
        </w:rPr>
        <w:br/>
        <w:t xml:space="preserve">korespondenci označit: „NEOTVÍRAT – </w:t>
      </w:r>
      <w:r w:rsidR="00385030">
        <w:rPr>
          <w:rFonts w:ascii="Calibri" w:hAnsi="Calibri" w:cs="Calibri"/>
        </w:rPr>
        <w:t>„</w:t>
      </w:r>
      <w:r>
        <w:rPr>
          <w:rFonts w:ascii="Calibri" w:hAnsi="Calibri" w:cs="Calibri"/>
        </w:rPr>
        <w:t>pouze k rukám příslušné osoby“</w:t>
      </w:r>
      <w:r>
        <w:rPr>
          <w:rFonts w:ascii="Calibri" w:hAnsi="Calibri" w:cs="Calibri"/>
          <w:color w:val="000000"/>
          <w:sz w:val="23"/>
          <w:szCs w:val="23"/>
        </w:rPr>
        <w:br/>
        <w:t>nebo e-mailem: </w:t>
      </w:r>
      <w:r w:rsidRPr="00DD5B03">
        <w:rPr>
          <w:rFonts w:cs="Calibri"/>
          <w:b/>
          <w:bCs/>
          <w:sz w:val="23"/>
          <w:szCs w:val="23"/>
        </w:rPr>
        <w:t>oznamovatel@nemletovice.cz</w:t>
      </w:r>
    </w:p>
    <w:p w14:paraId="60C8AB55" w14:textId="77777777" w:rsidR="00703D3D" w:rsidRDefault="00703D3D" w:rsidP="00703D3D">
      <w:pPr>
        <w:pStyle w:val="Normlnweb"/>
        <w:shd w:val="clear" w:color="auto" w:fill="FFFFFF"/>
        <w:spacing w:before="0" w:beforeAutospacing="0" w:after="0" w:afterAutospacing="0" w:line="345" w:lineRule="atLeast"/>
        <w:rPr>
          <w:rFonts w:ascii="Calibri" w:hAnsi="Calibri" w:cs="Calibri"/>
          <w:color w:val="000000"/>
          <w:sz w:val="23"/>
          <w:szCs w:val="23"/>
        </w:rPr>
      </w:pPr>
    </w:p>
    <w:p w14:paraId="0D61B439" w14:textId="77777777" w:rsidR="00703D3D" w:rsidRDefault="00703D3D" w:rsidP="00703D3D">
      <w:pPr>
        <w:pStyle w:val="Normlnweb"/>
        <w:shd w:val="clear" w:color="auto" w:fill="FFFFFF"/>
        <w:spacing w:before="0" w:beforeAutospacing="0" w:after="0" w:afterAutospacing="0" w:line="345" w:lineRule="atLeast"/>
        <w:jc w:val="both"/>
        <w:rPr>
          <w:rFonts w:ascii="Calibri" w:hAnsi="Calibri" w:cs="Calibri"/>
        </w:rPr>
      </w:pPr>
      <w:r>
        <w:rPr>
          <w:rStyle w:val="Siln"/>
          <w:rFonts w:ascii="Calibri" w:hAnsi="Calibri" w:cs="Calibri"/>
          <w:sz w:val="23"/>
          <w:szCs w:val="23"/>
        </w:rPr>
        <w:t>2. telefonicky:   </w:t>
      </w:r>
      <w:r w:rsidRPr="00DD5B03">
        <w:rPr>
          <w:rFonts w:ascii="Calibri" w:hAnsi="Calibri" w:cs="Calibri"/>
        </w:rPr>
        <w:t>+420 607 087 971</w:t>
      </w:r>
    </w:p>
    <w:p w14:paraId="784BA819" w14:textId="77777777" w:rsidR="00703D3D" w:rsidRDefault="00703D3D" w:rsidP="00703D3D">
      <w:pPr>
        <w:pStyle w:val="Normlnweb"/>
        <w:shd w:val="clear" w:color="auto" w:fill="FFFFFF"/>
        <w:spacing w:before="0" w:beforeAutospacing="0" w:after="0" w:afterAutospacing="0" w:line="345" w:lineRule="atLeast"/>
        <w:jc w:val="both"/>
      </w:pPr>
    </w:p>
    <w:p w14:paraId="097CCC88" w14:textId="77777777" w:rsidR="00703D3D" w:rsidRPr="00703D3D" w:rsidRDefault="00703D3D" w:rsidP="00703D3D">
      <w:pPr>
        <w:pStyle w:val="Normlnweb"/>
        <w:shd w:val="clear" w:color="auto" w:fill="FFFFFF"/>
        <w:spacing w:before="0" w:beforeAutospacing="0" w:after="0" w:afterAutospacing="0" w:line="345" w:lineRule="atLeast"/>
        <w:jc w:val="both"/>
        <w:rPr>
          <w:rFonts w:ascii="Calibri" w:hAnsi="Calibri" w:cs="Calibri"/>
          <w:b/>
          <w:bCs/>
          <w:color w:val="000000"/>
          <w:sz w:val="23"/>
          <w:szCs w:val="23"/>
        </w:rPr>
      </w:pPr>
      <w:r w:rsidRPr="00703D3D">
        <w:rPr>
          <w:rFonts w:ascii="Calibri" w:hAnsi="Calibri" w:cs="Calibri"/>
        </w:rPr>
        <w:t>3.osobně-ústně: na základě žádosti v přiměřené lhůtě Ing. Evě Siverové, vedoucí správního úseku, jakožto příslušné osobě.</w:t>
      </w:r>
    </w:p>
    <w:p w14:paraId="13BF4437" w14:textId="77777777" w:rsidR="00703D3D" w:rsidRPr="00936237" w:rsidRDefault="00703D3D" w:rsidP="00703D3D">
      <w:pPr>
        <w:jc w:val="both"/>
        <w:rPr>
          <w:b/>
          <w:sz w:val="24"/>
        </w:rPr>
      </w:pPr>
    </w:p>
    <w:p w14:paraId="2BA8BE69" w14:textId="77777777" w:rsidR="00703D3D" w:rsidRDefault="00703D3D" w:rsidP="00703D3D">
      <w:pPr>
        <w:jc w:val="both"/>
        <w:rPr>
          <w:b/>
          <w:sz w:val="24"/>
        </w:rPr>
      </w:pPr>
      <w:r>
        <w:rPr>
          <w:b/>
          <w:sz w:val="24"/>
        </w:rPr>
        <w:t>Jak bude Vaše oznámení prošetřeno?</w:t>
      </w:r>
    </w:p>
    <w:p w14:paraId="039D801D" w14:textId="48DD0592" w:rsidR="00703D3D" w:rsidRDefault="00703D3D" w:rsidP="00703D3D">
      <w:pPr>
        <w:jc w:val="both"/>
        <w:rPr>
          <w:sz w:val="24"/>
        </w:rPr>
      </w:pPr>
      <w:r>
        <w:rPr>
          <w:sz w:val="24"/>
        </w:rPr>
        <w:t>Oznamovatel bude vyrozuměn o přijetí oznámení do 7 dnů od jeho podání a o výsledcích posouzení oznámení do 3</w:t>
      </w:r>
      <w:r w:rsidR="00EF52E6">
        <w:rPr>
          <w:sz w:val="24"/>
        </w:rPr>
        <w:t>0 dnů ode dne přijetí oznámení. V případech skutkově nebo právně složitých lze tuto lhůtu prodloužit až o 30 dnů, nejvýše však dvakrát.</w:t>
      </w:r>
      <w:r>
        <w:rPr>
          <w:sz w:val="24"/>
        </w:rPr>
        <w:t xml:space="preserve"> </w:t>
      </w:r>
    </w:p>
    <w:p w14:paraId="4C489454" w14:textId="77777777" w:rsidR="00703D3D" w:rsidRDefault="00703D3D" w:rsidP="00703D3D">
      <w:pPr>
        <w:jc w:val="both"/>
        <w:rPr>
          <w:sz w:val="24"/>
        </w:rPr>
      </w:pPr>
    </w:p>
    <w:p w14:paraId="7B40A7B2" w14:textId="77777777" w:rsidR="00417D0E" w:rsidRDefault="00417D0E"/>
    <w:sectPr w:rsidR="00417D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141B0"/>
    <w:multiLevelType w:val="hybridMultilevel"/>
    <w:tmpl w:val="6CE286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4F86161F"/>
    <w:multiLevelType w:val="hybridMultilevel"/>
    <w:tmpl w:val="B884582C"/>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hint="default"/>
      </w:rPr>
    </w:lvl>
  </w:abstractNum>
  <w:abstractNum w:abstractNumId="2" w15:restartNumberingAfterBreak="0">
    <w:nsid w:val="4FCB77CC"/>
    <w:multiLevelType w:val="hybridMultilevel"/>
    <w:tmpl w:val="23B8B8A4"/>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hint="default"/>
      </w:rPr>
    </w:lvl>
  </w:abstractNum>
  <w:num w:numId="1" w16cid:durableId="535656841">
    <w:abstractNumId w:val="1"/>
  </w:num>
  <w:num w:numId="2" w16cid:durableId="1098912952">
    <w:abstractNumId w:val="2"/>
  </w:num>
  <w:num w:numId="3" w16cid:durableId="272589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ED"/>
    <w:rsid w:val="00385030"/>
    <w:rsid w:val="00417D0E"/>
    <w:rsid w:val="006D73ED"/>
    <w:rsid w:val="00703D3D"/>
    <w:rsid w:val="00EF52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F022D"/>
  <w15:chartTrackingRefBased/>
  <w15:docId w15:val="{324D5077-DFEB-4DF0-985A-35CCC113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3D3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03D3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Odstavecseseznamem">
    <w:name w:val="List Paragraph"/>
    <w:basedOn w:val="Normln"/>
    <w:uiPriority w:val="34"/>
    <w:qFormat/>
    <w:rsid w:val="00703D3D"/>
    <w:pPr>
      <w:spacing w:line="256" w:lineRule="auto"/>
      <w:ind w:left="720"/>
      <w:contextualSpacing/>
    </w:pPr>
    <w:rPr>
      <w:kern w:val="0"/>
      <w:lang w:eastAsia="en-US"/>
      <w14:ligatures w14:val="none"/>
    </w:rPr>
  </w:style>
  <w:style w:type="character" w:styleId="Siln">
    <w:name w:val="Strong"/>
    <w:basedOn w:val="Standardnpsmoodstavce"/>
    <w:uiPriority w:val="22"/>
    <w:qFormat/>
    <w:rsid w:val="00703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3322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Ottova</dc:creator>
  <cp:keywords/>
  <dc:description/>
  <cp:lastModifiedBy>ES</cp:lastModifiedBy>
  <cp:revision>2</cp:revision>
  <dcterms:created xsi:type="dcterms:W3CDTF">2023-07-28T07:17:00Z</dcterms:created>
  <dcterms:modified xsi:type="dcterms:W3CDTF">2023-07-28T07:17:00Z</dcterms:modified>
</cp:coreProperties>
</file>